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1049" w14:textId="77777777" w:rsidR="00314816" w:rsidRPr="00314816" w:rsidRDefault="00314816" w:rsidP="0031481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1481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Кадастровая палата республики напоминает о сделках с недвижимостью, требующих обязательного нотариального удостоверения</w:t>
        </w:r>
      </w:hyperlink>
    </w:p>
    <w:p w14:paraId="64CC3472" w14:textId="77777777" w:rsidR="00314816" w:rsidRDefault="00314816" w:rsidP="003148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республики напоминает, что в соответствии с законодательством ряд сделок с недвижимостью требует обязательного нотариального удостоверения:</w:t>
      </w:r>
      <w:r>
        <w:rPr>
          <w:rFonts w:ascii="Verdana" w:hAnsi="Verdana"/>
          <w:color w:val="555555"/>
          <w:sz w:val="18"/>
          <w:szCs w:val="18"/>
        </w:rPr>
        <w:br/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  <w:r>
        <w:rPr>
          <w:rFonts w:ascii="Verdana" w:hAnsi="Verdana"/>
          <w:color w:val="555555"/>
          <w:sz w:val="18"/>
          <w:szCs w:val="18"/>
        </w:rPr>
        <w:br/>
        <w:t>- договоры ипотеки долей в праве общей собственности на недвижимое имущество, в том числе при оформлении ипотеки всеми участниками долевой собственности своих долей по одной сделке;</w:t>
      </w:r>
      <w:r>
        <w:rPr>
          <w:rFonts w:ascii="Verdana" w:hAnsi="Verdana"/>
          <w:color w:val="555555"/>
          <w:sz w:val="18"/>
          <w:szCs w:val="18"/>
        </w:rPr>
        <w:br/>
        <w:t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  <w:r>
        <w:rPr>
          <w:rFonts w:ascii="Verdana" w:hAnsi="Verdana"/>
          <w:color w:val="555555"/>
          <w:sz w:val="18"/>
          <w:szCs w:val="18"/>
        </w:rPr>
        <w:br/>
        <w:t>- с объектом недвижимости, если заявление и документы на регистрацию этой сделки или на ее основании на регистрацию права, ограничения или обременения права представляются почтовым отправлением.</w:t>
      </w:r>
      <w:r>
        <w:rPr>
          <w:rFonts w:ascii="Verdana" w:hAnsi="Verdana"/>
          <w:color w:val="555555"/>
          <w:sz w:val="18"/>
          <w:szCs w:val="18"/>
        </w:rPr>
        <w:br/>
        <w:t>Нотариальному удостоверению подлежат доверенности:</w:t>
      </w:r>
      <w:r>
        <w:rPr>
          <w:rFonts w:ascii="Verdana" w:hAnsi="Verdana"/>
          <w:color w:val="555555"/>
          <w:sz w:val="18"/>
          <w:szCs w:val="18"/>
        </w:rPr>
        <w:br/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  <w:r>
        <w:rPr>
          <w:rFonts w:ascii="Verdana" w:hAnsi="Verdana"/>
          <w:color w:val="555555"/>
          <w:sz w:val="18"/>
          <w:szCs w:val="18"/>
        </w:rPr>
        <w:br/>
        <w:t>- на распоряжение зарегистрированными в государственных реестрах правами;</w:t>
      </w:r>
      <w:r>
        <w:rPr>
          <w:rFonts w:ascii="Verdana" w:hAnsi="Verdana"/>
          <w:color w:val="555555"/>
          <w:sz w:val="18"/>
          <w:szCs w:val="18"/>
        </w:rPr>
        <w:br/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  <w:r>
        <w:rPr>
          <w:rFonts w:ascii="Verdana" w:hAnsi="Verdana"/>
          <w:color w:val="555555"/>
          <w:sz w:val="18"/>
          <w:szCs w:val="18"/>
        </w:rPr>
        <w:br/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14:paraId="13A0A043" w14:textId="77777777" w:rsidR="00303460" w:rsidRPr="00314816" w:rsidRDefault="00303460" w:rsidP="00314816"/>
    <w:sectPr w:rsidR="00303460" w:rsidRPr="0031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8-kadastrovaya-palata-respubliki-napominaet-o-sdelkakh-s-nedvizhimostyu-trebuyushchikh-obyazatelnogo-notarialnogo-udostover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176</cp:revision>
  <dcterms:created xsi:type="dcterms:W3CDTF">2020-09-22T17:44:00Z</dcterms:created>
  <dcterms:modified xsi:type="dcterms:W3CDTF">2020-09-22T19:16:00Z</dcterms:modified>
</cp:coreProperties>
</file>