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A8D3" w14:textId="77777777" w:rsidR="00B8707F" w:rsidRDefault="00B8707F" w:rsidP="00B8707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Вопросы межведомственного взаимодействия обсудили в Кадастровой палате</w:t>
        </w:r>
      </w:hyperlink>
    </w:p>
    <w:p w14:paraId="5FEA3F2D" w14:textId="007C665F" w:rsidR="00B8707F" w:rsidRDefault="00B8707F" w:rsidP="00B8707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республики состоялось совещание с представителями органов местного самоуправления.</w:t>
      </w:r>
      <w:r>
        <w:rPr>
          <w:rFonts w:ascii="Verdana" w:hAnsi="Verdana"/>
          <w:color w:val="555555"/>
          <w:sz w:val="18"/>
          <w:szCs w:val="18"/>
        </w:rPr>
        <w:br/>
        <w:t>18-19 декабря 2019 года на площадке Кадастровой палаты Республики Адыгея состоялось совещание с представителями органов местного самоуправления. В мероприятии приняли участие представители органов местного самоуправления Гиагинского, Красногвардейского, Кошехабльского, Шовгеновского, Майкопского, Тахтамукайского, Теучежского районов республики, а также города Майкопа и Адыгейска.</w:t>
      </w:r>
      <w:r>
        <w:rPr>
          <w:rFonts w:ascii="Verdana" w:hAnsi="Verdana"/>
          <w:color w:val="555555"/>
          <w:sz w:val="18"/>
          <w:szCs w:val="18"/>
        </w:rPr>
        <w:br/>
        <w:t>На совещании рассмотрен ряд вопросов взаимодействия органов местного самоуправления и органа регистрации прав, в числе которых, основания для постановки на государственный кадастровый учет и государственной регистрации права сервитутов.</w:t>
      </w:r>
      <w:r>
        <w:rPr>
          <w:rFonts w:ascii="Verdana" w:hAnsi="Verdana"/>
          <w:color w:val="555555"/>
          <w:sz w:val="18"/>
          <w:szCs w:val="18"/>
        </w:rPr>
        <w:br/>
        <w:t>В рамках проведения мероприятия, специалисты Кадастровой палаты обозначили основные ошибки, допускаемые «муниципалами» при формировании документов на кадастровый учет земельных участков и объектов капитального строительства.</w:t>
      </w:r>
      <w:r>
        <w:rPr>
          <w:rFonts w:ascii="Verdana" w:hAnsi="Verdana"/>
          <w:color w:val="555555"/>
          <w:sz w:val="18"/>
          <w:szCs w:val="18"/>
        </w:rPr>
        <w:br/>
        <w:t>- «В ходе кадастрового учета объектов недвижимости выявляются однотипные ошибки при подготовке правоустанавливающих документов уполномоченными органами власти. Основные ошибки допускаются при формировании земельных участков, с видами разрешенного использования, не соответствующими Правилам землепользования и застройки, – поясняет эксперт Кадастровой палаты республики Елена Максимова. - Наличие в законе о регистрации вышеуказанных норм напрямую обуславливает зависимость государственного кадастрового учета и государственной регистрации прав от качества подготовки Правил землепользования и застройки, а именно: в случае наличия в Правилах землепользования и застройки (утвержденных ими градостроительных регламентов и границах территориальных зон) недостатков вероятность принятия решения о приостановлении возрастает».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 wp14:anchorId="7211B25E" wp14:editId="3E23DA59">
            <wp:extent cx="3905250" cy="2600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 wp14:anchorId="2BF4B111" wp14:editId="458362C3">
            <wp:extent cx="3905250" cy="2276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E564" w14:textId="77777777" w:rsidR="00F653F6" w:rsidRPr="00B8707F" w:rsidRDefault="00F653F6" w:rsidP="00B8707F"/>
    <w:sectPr w:rsidR="00F653F6" w:rsidRPr="00B8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adastr.krasnogvard.ru/index.php/885-voprosy-mezhvedomstvennogo-vzaimodejstviya-obsudili-v-kadastrovoj-pal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141</cp:revision>
  <dcterms:created xsi:type="dcterms:W3CDTF">2020-09-07T18:55:00Z</dcterms:created>
  <dcterms:modified xsi:type="dcterms:W3CDTF">2020-09-07T20:37:00Z</dcterms:modified>
</cp:coreProperties>
</file>