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12921" w14:textId="77777777" w:rsidR="001F7028" w:rsidRPr="001F7028" w:rsidRDefault="001F7028" w:rsidP="001F7028">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1F7028">
          <w:rPr>
            <w:rStyle w:val="a3"/>
            <w:rFonts w:ascii="Tahoma" w:hAnsi="Tahoma" w:cs="Tahoma"/>
            <w:color w:val="222222"/>
            <w:sz w:val="27"/>
            <w:szCs w:val="27"/>
            <w:u w:val="none"/>
          </w:rPr>
          <w:t>СОКРАЩЕН СРОК УПЛАТЫ АДМИНИСТРАТИВНОГО ШТРАФА, НАЗНАЧЕННОГО ЗА СОВЕРШЕНИЕ КОРРУПЦИОННЫХ ПРАВОНАРУШЕНИЙ</w:t>
        </w:r>
      </w:hyperlink>
    </w:p>
    <w:p w14:paraId="72D230B4" w14:textId="58D3EBE5" w:rsidR="001F7028" w:rsidRDefault="001F7028" w:rsidP="001F7028">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04A3658D" w14:textId="77777777" w:rsidR="001F7028" w:rsidRDefault="001F7028" w:rsidP="001F7028">
      <w:pPr>
        <w:shd w:val="clear" w:color="auto" w:fill="FFFFFF"/>
        <w:rPr>
          <w:rFonts w:ascii="Verdana" w:hAnsi="Verdana"/>
          <w:color w:val="555555"/>
          <w:sz w:val="18"/>
          <w:szCs w:val="18"/>
        </w:rPr>
      </w:pPr>
      <w:r>
        <w:rPr>
          <w:rFonts w:ascii="Verdana" w:hAnsi="Verdana"/>
          <w:color w:val="555555"/>
          <w:sz w:val="18"/>
          <w:szCs w:val="18"/>
        </w:rPr>
        <w:t>Федеральным законом от 03.08.2018 № 298-ФЗ «О внесении изменений в Кодекс Российской Федерации об административных правонарушениях» внесены изменения в главу 32 Кодекса Российской Федерации об административных правонарушениях. Так, значительно сокращены сроки оплаты административного штрафа, назначенного за совершение административного правонарушения, предусмотренного статьей 19.28 КоАП РФ, по фактам незаконного вознаграждения от имени или в интересах юридического лица. Согласно ч. 1.4 ст. 32.2 КоАП РФ штраф, назначенный за совершение правонарушения, предусмотренного статьей 19.28 КоАП РФ, должен быть уплачен не позднее семи дней со дня вступления постановления о наложении административного штрафа в законную силу. Ранее на юридических лиц, привлеченных к административной ответственности за совершение указанного коррупционного правонарушения, распространялись общие требования в части исполнения постановления о наложении административного штрафа. Срок оплаты составлял 60 дней. Изменения вступили в законную силу с 14 августа 2018 года.</w:t>
      </w:r>
    </w:p>
    <w:p w14:paraId="72E851A7" w14:textId="77777777" w:rsidR="009048BA" w:rsidRPr="001F7028" w:rsidRDefault="009048BA" w:rsidP="001F7028"/>
    <w:sectPr w:rsidR="009048BA" w:rsidRPr="001F7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1F7028"/>
    <w:rsid w:val="002564EC"/>
    <w:rsid w:val="0027005E"/>
    <w:rsid w:val="002F3645"/>
    <w:rsid w:val="003264C4"/>
    <w:rsid w:val="003943D9"/>
    <w:rsid w:val="00486745"/>
    <w:rsid w:val="004D5E37"/>
    <w:rsid w:val="006325B8"/>
    <w:rsid w:val="00776800"/>
    <w:rsid w:val="007B10E4"/>
    <w:rsid w:val="007B720D"/>
    <w:rsid w:val="007F420B"/>
    <w:rsid w:val="00820B0E"/>
    <w:rsid w:val="008731B8"/>
    <w:rsid w:val="008C2186"/>
    <w:rsid w:val="009048BA"/>
    <w:rsid w:val="009341EC"/>
    <w:rsid w:val="009F5986"/>
    <w:rsid w:val="00A17FA5"/>
    <w:rsid w:val="00A25554"/>
    <w:rsid w:val="00AE51D8"/>
    <w:rsid w:val="00B425B7"/>
    <w:rsid w:val="00B87881"/>
    <w:rsid w:val="00B9273F"/>
    <w:rsid w:val="00BC57FC"/>
    <w:rsid w:val="00C150D6"/>
    <w:rsid w:val="00D1282E"/>
    <w:rsid w:val="00ED6683"/>
    <w:rsid w:val="00EE23CA"/>
    <w:rsid w:val="00FC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57-sokrashchen-srok-uplaty-administrativnogo-shtrafa-naznachennogo-za-sovershenie-korruptsionnykh-pravonarush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35</cp:revision>
  <dcterms:created xsi:type="dcterms:W3CDTF">2020-09-09T18:58:00Z</dcterms:created>
  <dcterms:modified xsi:type="dcterms:W3CDTF">2020-09-09T19:22:00Z</dcterms:modified>
</cp:coreProperties>
</file>