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607CE" w14:textId="77777777" w:rsidR="00726423" w:rsidRDefault="00726423" w:rsidP="00726423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Усиление уголовной ответственности за преступления в сфере безопасности дорожного движения</w:t>
        </w:r>
      </w:hyperlink>
    </w:p>
    <w:p w14:paraId="63B42AB2" w14:textId="77777777" w:rsidR="00726423" w:rsidRDefault="00726423" w:rsidP="0072642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555555"/>
          <w:sz w:val="18"/>
          <w:szCs w:val="18"/>
        </w:rPr>
        <w:t>Усиление уголовной ответственности за преступления в сфере безопасности дорожного движения</w:t>
      </w:r>
    </w:p>
    <w:p w14:paraId="11D6E5E1" w14:textId="77777777" w:rsidR="00726423" w:rsidRDefault="00726423" w:rsidP="0072642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Законодатель последовательно ужесточает уголовную ответственность водителей, совершивших преступления в состоянии алкогольного опьянения.</w:t>
      </w:r>
    </w:p>
    <w:p w14:paraId="7C3D9BD6" w14:textId="77777777" w:rsidR="00726423" w:rsidRDefault="00726423" w:rsidP="0072642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До недавнего времени установить состояние опьянения водителя, совершившего ДТП и привлечь его к уголовной ответственности по ст.ст. 264, 264.1 УК РФ, можно было только в случае, если водитель прошел медицинское освидетельствование либо официально отказался от него. </w:t>
      </w:r>
    </w:p>
    <w:p w14:paraId="62905C4C" w14:textId="77777777" w:rsidR="00726423" w:rsidRDefault="00726423" w:rsidP="0072642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25.04.2018 Конституционный Суд РФ сформулировал правовую позицию о неконституционности норм уголовного законодательства, не позволяющих привлечь к уголовной ответственности за преступления в сфере безопасности дорожного движения в состоянии опьянения тех водителей, которые скрылись с места происшествия. </w:t>
      </w:r>
    </w:p>
    <w:p w14:paraId="5731BDAE" w14:textId="77777777" w:rsidR="00726423" w:rsidRDefault="00726423" w:rsidP="0072642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23.04.2019, во исполнение названного решения Конституционного Суда РФ, статья 264 УК РФ дополнена новыми квалифицирующими признаками, согласно которым в случае совершения ДТП, повлекшего тяжкий вред здоровью либо смерть человека, одинаковой повышенной ответственности подлежат как лица, совершившее ДТП в состоянии опьянения, так и скрывшиеся с места преступления.</w:t>
      </w:r>
    </w:p>
    <w:p w14:paraId="2A468F88" w14:textId="77777777" w:rsidR="00726423" w:rsidRDefault="00726423" w:rsidP="0072642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17.06.2019 законодатель значительно увеличил сроки наказания за эти преступления.</w:t>
      </w:r>
    </w:p>
    <w:p w14:paraId="6FFD2DA5" w14:textId="77777777" w:rsidR="00726423" w:rsidRDefault="00726423" w:rsidP="0072642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Так, нарушение правил дорожного движения, повлекшее причинение тяжкого вреда здоровью человека в состоянии опьянения, а также сопряженное с оставлением места происшествия, наказывается лишением свободы на срок от 3 до 7 лет. </w:t>
      </w:r>
    </w:p>
    <w:p w14:paraId="5ECCF997" w14:textId="77777777" w:rsidR="00726423" w:rsidRDefault="00726423" w:rsidP="00726423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те же деяния, повлекшие смерть человека, предусмотрена ответственность в виде лишения свободы на срок от 5 до 12 лет; за те же деяния, повлекшие смерть двух или более лиц – в виде лишения свободы на срок от 8 до 15 лет. </w:t>
      </w:r>
    </w:p>
    <w:p w14:paraId="4133E465" w14:textId="6AFB98FA" w:rsidR="00CC3A7F" w:rsidRPr="00726423" w:rsidRDefault="00CC3A7F" w:rsidP="00726423"/>
    <w:sectPr w:rsidR="00CC3A7F" w:rsidRPr="00726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C66FC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47296C"/>
    <w:rsid w:val="00501CB4"/>
    <w:rsid w:val="00513A2A"/>
    <w:rsid w:val="00570C9D"/>
    <w:rsid w:val="00572D97"/>
    <w:rsid w:val="00631BD6"/>
    <w:rsid w:val="006905CD"/>
    <w:rsid w:val="006B0508"/>
    <w:rsid w:val="007072B2"/>
    <w:rsid w:val="00726423"/>
    <w:rsid w:val="00753EA3"/>
    <w:rsid w:val="00761BA6"/>
    <w:rsid w:val="00773103"/>
    <w:rsid w:val="007909AA"/>
    <w:rsid w:val="007B11C5"/>
    <w:rsid w:val="007D23E9"/>
    <w:rsid w:val="007F0B39"/>
    <w:rsid w:val="00822C92"/>
    <w:rsid w:val="00842FB3"/>
    <w:rsid w:val="008966CD"/>
    <w:rsid w:val="008C4D9E"/>
    <w:rsid w:val="008E5CAC"/>
    <w:rsid w:val="00911F3F"/>
    <w:rsid w:val="009D4368"/>
    <w:rsid w:val="00A253C9"/>
    <w:rsid w:val="00A45580"/>
    <w:rsid w:val="00A5398C"/>
    <w:rsid w:val="00A80EF2"/>
    <w:rsid w:val="00AD63E5"/>
    <w:rsid w:val="00B2202C"/>
    <w:rsid w:val="00BE4B32"/>
    <w:rsid w:val="00C83FE9"/>
    <w:rsid w:val="00CC3A7F"/>
    <w:rsid w:val="00CE76B4"/>
    <w:rsid w:val="00D23D8F"/>
    <w:rsid w:val="00D90AD7"/>
    <w:rsid w:val="00DC5A23"/>
    <w:rsid w:val="00E41D20"/>
    <w:rsid w:val="00E467E9"/>
    <w:rsid w:val="00E572A3"/>
    <w:rsid w:val="00E60298"/>
    <w:rsid w:val="00E96FAD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34-usilenie-ugolovnoj-otvetstvennosti-za-prestupleniya-v-sfere-bezopasnosti-dorozhnogo-dvizh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79</cp:revision>
  <dcterms:created xsi:type="dcterms:W3CDTF">2020-09-07T17:06:00Z</dcterms:created>
  <dcterms:modified xsi:type="dcterms:W3CDTF">2020-09-07T18:51:00Z</dcterms:modified>
</cp:coreProperties>
</file>