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27D16" w14:textId="77777777" w:rsidR="00B91616" w:rsidRPr="00B91616" w:rsidRDefault="00B91616" w:rsidP="00B9161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B9161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Чем отличается кадастровая стоимость недвижимости от рыночной</w:t>
        </w:r>
      </w:hyperlink>
    </w:p>
    <w:p w14:paraId="3C99FB62" w14:textId="77777777" w:rsidR="00B91616" w:rsidRDefault="00B91616" w:rsidP="00B916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в силу возложенных полномочий рассматривает обращения граждан, связанные с кадастровой стоимостью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Доминирующая часть поступающих обращений содержит вопрос о существенном отличии кадастровой стоимости конкретного объекта недвижимости от рыночной стоимости последнего.</w:t>
      </w:r>
      <w:r>
        <w:rPr>
          <w:rFonts w:ascii="Verdana" w:hAnsi="Verdana"/>
          <w:color w:val="555555"/>
          <w:sz w:val="18"/>
          <w:szCs w:val="18"/>
        </w:rPr>
        <w:br/>
        <w:t>В этой связи полагаем необходимым обратить внимание на следующее.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действующим законодательством под рыночной стоимостью объекта оценки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  <w:r>
        <w:rPr>
          <w:rFonts w:ascii="Verdana" w:hAnsi="Verdana"/>
          <w:color w:val="555555"/>
          <w:sz w:val="18"/>
          <w:szCs w:val="18"/>
        </w:rPr>
        <w:br/>
        <w:t>Кадастровая стоимость объекта недвижимости определяется при проведении государственной кадастровой оценки для целей,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недвижимости.</w:t>
      </w:r>
      <w:r>
        <w:rPr>
          <w:rFonts w:ascii="Verdana" w:hAnsi="Verdana"/>
          <w:color w:val="555555"/>
          <w:sz w:val="18"/>
          <w:szCs w:val="18"/>
        </w:rPr>
        <w:br/>
        <w:t>Кадастровая стоимость определяется массовыми методами оценки не чаще одного раза в три года, в то время как рыночная стоимость может меняться постоянно.</w:t>
      </w:r>
      <w:r>
        <w:rPr>
          <w:rFonts w:ascii="Verdana" w:hAnsi="Verdana"/>
          <w:color w:val="555555"/>
          <w:sz w:val="18"/>
          <w:szCs w:val="18"/>
        </w:rPr>
        <w:br/>
        <w:t>Итак, ключевым отличием между указанными видами стоимости является то, что формирование рыночной стоимости определяют сведения о текущем состоянии конкретного объекта недвижимости, текущая динамика спроса и предложения на рынке недвижимости, для изменения же кадастровой стоимости необходимо проведение очередной государственной кадастровой оценки в регионе с использованием сведений о сложившейся в предыдущих периодах конъюнктуре рынка.</w:t>
      </w:r>
      <w:r>
        <w:rPr>
          <w:rFonts w:ascii="Verdana" w:hAnsi="Verdana"/>
          <w:color w:val="555555"/>
          <w:sz w:val="18"/>
          <w:szCs w:val="18"/>
        </w:rPr>
        <w:br/>
        <w:t>Таким образом, кадастровая стоимость недвижимости опирается на сведения о рыночной стоимости, должна стремиться к данной величине, при этом равной ей быть не может.</w:t>
      </w:r>
    </w:p>
    <w:p w14:paraId="13A0A043" w14:textId="77777777" w:rsidR="00303460" w:rsidRPr="00B91616" w:rsidRDefault="00303460" w:rsidP="00B91616"/>
    <w:sectPr w:rsidR="00303460" w:rsidRPr="00B9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27BA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1616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D2399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87-chem-otlichaetsya-kadastrovaya-stoimost-nedvizhimosti-ot-rynochn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188</cp:revision>
  <dcterms:created xsi:type="dcterms:W3CDTF">2020-09-22T17:44:00Z</dcterms:created>
  <dcterms:modified xsi:type="dcterms:W3CDTF">2020-09-22T19:22:00Z</dcterms:modified>
</cp:coreProperties>
</file>