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65" w:rsidRPr="00452165" w:rsidRDefault="00452165" w:rsidP="00452165">
      <w:pPr>
        <w:shd w:val="clear" w:color="auto" w:fill="FFFFFF"/>
        <w:spacing w:before="75" w:after="60" w:line="360" w:lineRule="atLeast"/>
        <w:outlineLvl w:val="0"/>
        <w:rPr>
          <w:rFonts w:ascii="Tahoma" w:eastAsia="Times New Roman" w:hAnsi="Tahoma" w:cs="Tahoma"/>
          <w:b/>
          <w:bCs/>
          <w:color w:val="222222"/>
          <w:kern w:val="36"/>
          <w:sz w:val="27"/>
          <w:szCs w:val="27"/>
        </w:rPr>
      </w:pPr>
      <w:r w:rsidRPr="00452165">
        <w:rPr>
          <w:rFonts w:ascii="Tahoma" w:eastAsia="Times New Roman" w:hAnsi="Tahoma" w:cs="Tahoma"/>
          <w:b/>
          <w:bCs/>
          <w:color w:val="222222"/>
          <w:kern w:val="36"/>
          <w:sz w:val="27"/>
          <w:szCs w:val="27"/>
        </w:rPr>
        <w:fldChar w:fldCharType="begin"/>
      </w:r>
      <w:r w:rsidRPr="00452165">
        <w:rPr>
          <w:rFonts w:ascii="Tahoma" w:eastAsia="Times New Roman" w:hAnsi="Tahoma" w:cs="Tahoma"/>
          <w:b/>
          <w:bCs/>
          <w:color w:val="222222"/>
          <w:kern w:val="36"/>
          <w:sz w:val="27"/>
          <w:szCs w:val="27"/>
        </w:rPr>
        <w:instrText xml:space="preserve"> HYPERLINK "http://prokuratura.krasnogvard.ru/index.php/905-zhiteli-selskoj-mestnosti-smogut-poluchit-lgotnye-kredity-na-blagoustrojstvo-domovladenij" </w:instrText>
      </w:r>
      <w:r w:rsidRPr="00452165">
        <w:rPr>
          <w:rFonts w:ascii="Tahoma" w:eastAsia="Times New Roman" w:hAnsi="Tahoma" w:cs="Tahoma"/>
          <w:b/>
          <w:bCs/>
          <w:color w:val="222222"/>
          <w:kern w:val="36"/>
          <w:sz w:val="27"/>
          <w:szCs w:val="27"/>
        </w:rPr>
        <w:fldChar w:fldCharType="separate"/>
      </w:r>
      <w:r w:rsidRPr="00452165">
        <w:rPr>
          <w:rFonts w:ascii="Tahoma" w:eastAsia="Times New Roman" w:hAnsi="Tahoma" w:cs="Tahoma"/>
          <w:b/>
          <w:bCs/>
          <w:color w:val="222222"/>
          <w:kern w:val="36"/>
          <w:sz w:val="27"/>
          <w:szCs w:val="27"/>
        </w:rPr>
        <w:t>Жители сельской местности смогут получить льготные кредиты на благоустройство домовладений</w:t>
      </w:r>
      <w:r w:rsidRPr="00452165">
        <w:rPr>
          <w:rFonts w:ascii="Tahoma" w:eastAsia="Times New Roman" w:hAnsi="Tahoma" w:cs="Tahoma"/>
          <w:b/>
          <w:bCs/>
          <w:color w:val="222222"/>
          <w:kern w:val="36"/>
          <w:sz w:val="27"/>
          <w:szCs w:val="27"/>
        </w:rPr>
        <w:fldChar w:fldCharType="end"/>
      </w:r>
    </w:p>
    <w:p w:rsidR="000F249C" w:rsidRDefault="000F249C"/>
    <w:p w:rsidR="00452165" w:rsidRDefault="00452165">
      <w:proofErr w:type="gramStart"/>
      <w:r>
        <w:rPr>
          <w:rFonts w:ascii="Verdana" w:hAnsi="Verdana"/>
          <w:color w:val="555555"/>
          <w:sz w:val="18"/>
          <w:szCs w:val="18"/>
          <w:shd w:val="clear" w:color="auto" w:fill="FFFFFF"/>
        </w:rPr>
        <w:t>Постановлением Правительства Российской Федерации от 26 ноября 2019 года N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установлено, что с 1 января 2020 года жители сельской местности смогут получить льготные кредиты</w:t>
      </w:r>
      <w:proofErr w:type="gramEnd"/>
      <w:r>
        <w:rPr>
          <w:rFonts w:ascii="Verdana" w:hAnsi="Verdana"/>
          <w:color w:val="555555"/>
          <w:sz w:val="18"/>
          <w:szCs w:val="18"/>
          <w:shd w:val="clear" w:color="auto" w:fill="FFFFFF"/>
        </w:rPr>
        <w:t xml:space="preserve"> на благоустройство домовладений по ставке от 1 до 5 процентов на срок не более 5 лет. Кредит (заем) предоставляется на ремонт жилых домов, а также приобретение и монтаж оборудования для обеспечения централизованного или автономного электроснабжения, водоснабжения, водоотведения, отопления, газоснабжения. Максимальный размер кредита - 250 тыс. рублей. Банки смогут компенсировать льготную ставку за счет федеральных субсидий.</w:t>
      </w:r>
      <w:bookmarkStart w:id="0" w:name="_GoBack"/>
      <w:bookmarkEnd w:id="0"/>
    </w:p>
    <w:sectPr w:rsidR="0045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65"/>
    <w:rsid w:val="000F249C"/>
    <w:rsid w:val="0045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21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16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521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21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216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52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2020-09-09T02:21:00Z</dcterms:created>
  <dcterms:modified xsi:type="dcterms:W3CDTF">2020-09-09T02:21:00Z</dcterms:modified>
</cp:coreProperties>
</file>